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 w:before="0"/>
        <w:jc w:val="center"/>
      </w:pPr>
      <w:r>
        <w:rPr>
          <w:rFonts w:ascii="Sylfaen" w:hAnsi="Sylfaen" w:cs="Sylfaen" w:eastAsia="Sylfaen"/>
          <w:b/>
          <w:color w:val="0B355A"/>
          <w:sz w:val="36"/>
        </w:rPr>
        <w:t>კონფიდენციალურობის შეთანხმების (NDA) ნიმუში</w:t>
      </w:r>
    </w:p>
    <w:p>
      <w:pPr>
        <w:spacing w:after="360" w:before="0"/>
        <w:jc w:val="center"/>
      </w:pPr>
      <w:r>
        <w:rPr>
          <w:rFonts w:ascii="Sylfaen" w:hAnsi="Sylfaen" w:cs="Sylfaen" w:eastAsia="Sylfaen"/>
          <w:b w:val="0"/>
          <w:color w:val="64748B"/>
          <w:sz w:val="18"/>
        </w:rPr>
        <w:t>ორმხრივი კონფიდენციალურობის შეთანხმების ფორმა — რა ითვლება კონფიდენციალურად, გამონაკლისები, ვადა და პასუხისმგებლობა.</w:t>
      </w:r>
    </w:p>
    <w:p>
      <w:pPr>
        <w:spacing w:after="120" w:before="240"/>
      </w:pPr>
      <w:r>
        <w:rPr>
          <w:rFonts w:ascii="Sylfaen" w:hAnsi="Sylfaen" w:cs="Sylfaen" w:eastAsia="Sylfaen"/>
          <w:b/>
          <w:color w:val="0B355A"/>
          <w:sz w:val="24"/>
        </w:rPr>
        <w:t>1. მხარეები</w:t>
      </w:r>
    </w:p>
    <w:p>
      <w:pPr>
        <w:spacing w:after="120" w:before="0"/>
      </w:pPr>
      <w:r>
        <w:rPr>
          <w:rFonts w:ascii="Sylfaen" w:hAnsi="Sylfaen" w:cs="Sylfaen" w:eastAsia="Sylfaen"/>
          <w:b w:val="0"/>
          <w:sz w:val="22"/>
        </w:rPr>
        <w:t>[პირველი მხარის დასახელება], ს/ნ [ნომერი], და [მეორე მხარის დასახელება], ს/ნ [ნომერი], ერთობლივად „მხარეები“, დებენ წინამდებარე შეთანხმებას კონფიდენციალურობის შესახებ.</w:t>
      </w:r>
    </w:p>
    <w:p>
      <w:pPr>
        <w:spacing w:after="120" w:before="0"/>
      </w:pPr>
      <w:r>
        <w:rPr>
          <w:rFonts w:ascii="Sylfaen" w:hAnsi="Sylfaen" w:cs="Sylfaen" w:eastAsia="Sylfaen"/>
          <w:b w:val="0"/>
          <w:sz w:val="22"/>
        </w:rPr>
        <w:t>1.1. შეთანხმების მიზანია [თანამშრომლობის / მოლაპარაკების საგნის აღწერა]-სთან დაკავშირებით გაცვლილი ინფორმაციის დაცვა.</w:t>
      </w:r>
    </w:p>
    <w:p>
      <w:pPr>
        <w:spacing w:after="120" w:before="240"/>
      </w:pPr>
      <w:r>
        <w:rPr>
          <w:rFonts w:ascii="Sylfaen" w:hAnsi="Sylfaen" w:cs="Sylfaen" w:eastAsia="Sylfaen"/>
          <w:b/>
          <w:color w:val="0B355A"/>
          <w:sz w:val="24"/>
        </w:rPr>
        <w:t>2. კონფიდენციალური ინფორმაცია</w:t>
      </w:r>
    </w:p>
    <w:p>
      <w:pPr>
        <w:spacing w:after="120" w:before="0"/>
      </w:pPr>
      <w:r>
        <w:rPr>
          <w:rFonts w:ascii="Sylfaen" w:hAnsi="Sylfaen" w:cs="Sylfaen" w:eastAsia="Sylfaen"/>
          <w:b w:val="0"/>
          <w:sz w:val="22"/>
        </w:rPr>
        <w:t>2.1. კონფიდენციალურად ითვლება ნებისმიერი ინფორმაცია, რომელიც ერთმა მხარემ მეორეს გადასცა ამ შეთანხმების მიზნებისთვის, მათ შორის: ფინანსური მონაცემები, კომერციული პირობები, ტექნიკური დოკუმენტაცია, კლიენტების ნუსხა, პროგრამული უზრუნველყოფა და ბიზნეს-პროცესების აღწერა.</w:t>
      </w:r>
    </w:p>
    <w:p>
      <w:pPr>
        <w:spacing w:after="120" w:before="0"/>
      </w:pPr>
      <w:r>
        <w:rPr>
          <w:rFonts w:ascii="Sylfaen" w:hAnsi="Sylfaen" w:cs="Sylfaen" w:eastAsia="Sylfaen"/>
          <w:b w:val="0"/>
          <w:sz w:val="22"/>
        </w:rPr>
        <w:t>2.2. ინფორმაცია კონფიდენციალურია მიუხედავად იმისა, გადაეცა იგი წერილობით, ზეპირად თუ ელექტრონული ფორმით.</w:t>
      </w:r>
    </w:p>
    <w:p>
      <w:pPr>
        <w:spacing w:after="120" w:before="240"/>
      </w:pPr>
      <w:r>
        <w:rPr>
          <w:rFonts w:ascii="Sylfaen" w:hAnsi="Sylfaen" w:cs="Sylfaen" w:eastAsia="Sylfaen"/>
          <w:b/>
          <w:color w:val="0B355A"/>
          <w:sz w:val="24"/>
        </w:rPr>
        <w:t>3. გამონაკლისები</w:t>
      </w:r>
    </w:p>
    <w:p>
      <w:pPr>
        <w:spacing w:after="120" w:before="0"/>
      </w:pPr>
      <w:r>
        <w:rPr>
          <w:rFonts w:ascii="Sylfaen" w:hAnsi="Sylfaen" w:cs="Sylfaen" w:eastAsia="Sylfaen"/>
          <w:b w:val="0"/>
          <w:sz w:val="22"/>
        </w:rPr>
        <w:t>3.1. ვალდებულება არ ვრცელდება ინფორმაციაზე, რომელიც: (ა) საჯაროდ ხელმისაწვდომია მიმღები მხარის ბრალის გარეშე; (ბ) მიმღებმა მხარემ დამოუკიდებლად შეიმუშავა; (გ) მიმღებმა მხარემ კანონიერად მიიღო მესამე პირისგან;</w:t>
      </w:r>
    </w:p>
    <w:p>
      <w:pPr>
        <w:spacing w:after="120" w:before="0"/>
      </w:pPr>
      <w:r>
        <w:rPr>
          <w:rFonts w:ascii="Sylfaen" w:hAnsi="Sylfaen" w:cs="Sylfaen" w:eastAsia="Sylfaen"/>
          <w:b w:val="0"/>
          <w:sz w:val="22"/>
        </w:rPr>
        <w:t>3.2. (დ) ან რომლის გამჟღავნებაც სავალდებულოა კანონის ან უფლებამოსილი ორგანოს მოთხოვნით — ამ შემთხვევაში მიმღები მხარე წინასწარ აცნობებს მეორე მხარეს, თუ ეს კანონით აკრძალული არ არის.</w:t>
      </w:r>
    </w:p>
    <w:p>
      <w:pPr>
        <w:spacing w:after="120" w:before="240"/>
      </w:pPr>
      <w:r>
        <w:rPr>
          <w:rFonts w:ascii="Sylfaen" w:hAnsi="Sylfaen" w:cs="Sylfaen" w:eastAsia="Sylfaen"/>
          <w:b/>
          <w:color w:val="0B355A"/>
          <w:sz w:val="24"/>
        </w:rPr>
        <w:t>4. მხარეთა ვალდებულებები</w:t>
      </w:r>
    </w:p>
    <w:p>
      <w:pPr>
        <w:spacing w:after="120" w:before="0"/>
      </w:pPr>
      <w:r>
        <w:rPr>
          <w:rFonts w:ascii="Sylfaen" w:hAnsi="Sylfaen" w:cs="Sylfaen" w:eastAsia="Sylfaen"/>
          <w:b w:val="0"/>
          <w:sz w:val="22"/>
        </w:rPr>
        <w:t>4.1. მხარეები ვალდებულნი არიან გამოიყენონ კონფიდენციალური ინფორმაცია მხოლოდ 1.1 პუნქტით განსაზღვრული მიზნისთვის.</w:t>
      </w:r>
    </w:p>
    <w:p>
      <w:pPr>
        <w:spacing w:after="120" w:before="0"/>
      </w:pPr>
      <w:r>
        <w:rPr>
          <w:rFonts w:ascii="Sylfaen" w:hAnsi="Sylfaen" w:cs="Sylfaen" w:eastAsia="Sylfaen"/>
          <w:b w:val="0"/>
          <w:sz w:val="22"/>
        </w:rPr>
        <w:t>4.2. ინფორმაციის გამჟღავნება დასაშვებია მხოლოდ იმ თანამშრომლებისა და კონსულტანტებისთვის, რომლებსაც ის უშუალოდ ესაჭიროებათ და რომლებიც იმავე ვალდებულებით არიან შებოჭილნი.</w:t>
      </w:r>
    </w:p>
    <w:p>
      <w:pPr>
        <w:spacing w:after="120" w:before="0"/>
      </w:pPr>
      <w:r>
        <w:rPr>
          <w:rFonts w:ascii="Sylfaen" w:hAnsi="Sylfaen" w:cs="Sylfaen" w:eastAsia="Sylfaen"/>
          <w:b w:val="0"/>
          <w:sz w:val="22"/>
        </w:rPr>
        <w:t>4.3. შეთანხმების შეწყვეტის ან მიზნის მიღწევის შემდეგ მხარე ვალდებულია მეორე მხარის მოთხოვნით დააბრუნოს ან გაანადგუროს მიღებული მასალები.</w:t>
      </w:r>
    </w:p>
    <w:p>
      <w:pPr>
        <w:spacing w:after="120" w:before="240"/>
      </w:pPr>
      <w:r>
        <w:rPr>
          <w:rFonts w:ascii="Sylfaen" w:hAnsi="Sylfaen" w:cs="Sylfaen" w:eastAsia="Sylfaen"/>
          <w:b/>
          <w:color w:val="0B355A"/>
          <w:sz w:val="24"/>
        </w:rPr>
        <w:t>5. ვადა და პასუხისმგებლობა</w:t>
      </w:r>
    </w:p>
    <w:p>
      <w:pPr>
        <w:spacing w:after="120" w:before="0"/>
      </w:pPr>
      <w:r>
        <w:rPr>
          <w:rFonts w:ascii="Sylfaen" w:hAnsi="Sylfaen" w:cs="Sylfaen" w:eastAsia="Sylfaen"/>
          <w:b w:val="0"/>
          <w:sz w:val="22"/>
        </w:rPr>
        <w:t>5.1. ვალდებულება ძალაშია ხელმოწერიდან [რაოდენობა] წლის განმავლობაში, მიუხედავად მხარეთა შორის თანამშრომლობის შეწყვეტისა.</w:t>
      </w:r>
    </w:p>
    <w:p>
      <w:pPr>
        <w:spacing w:after="120" w:before="0"/>
      </w:pPr>
      <w:r>
        <w:rPr>
          <w:rFonts w:ascii="Sylfaen" w:hAnsi="Sylfaen" w:cs="Sylfaen" w:eastAsia="Sylfaen"/>
          <w:b w:val="0"/>
          <w:sz w:val="22"/>
        </w:rPr>
        <w:t>5.2. ვალდებულების დარღვევის შემთხვევაში დამრღვევი მხარე იხდის პირგასამტეხლოს [თანხა] [ვალუტა]-ის ოდენობით, რაც არ ათავისუფლებს მას მიყენებული ზიანის ანაზღაურების ვალდებულებისგან.</w:t>
      </w:r>
    </w:p>
    <w:p>
      <w:pPr>
        <w:spacing w:after="120" w:before="0"/>
      </w:pPr>
      <w:r>
        <w:rPr>
          <w:rFonts w:ascii="Sylfaen" w:hAnsi="Sylfaen" w:cs="Sylfaen" w:eastAsia="Sylfaen"/>
          <w:b w:val="0"/>
          <w:sz w:val="22"/>
        </w:rPr>
        <w:t>5.3. დავა წყდება მოლაპარაკებით, ხოლო შეთანხმების მიუღწევლობისას — [სასამართლო / არბიტრაჟი]-ში.</w:t>
      </w:r>
    </w:p>
    <w:p>
      <w:pPr>
        <w:spacing w:after="120" w:before="240"/>
      </w:pPr>
      <w:r>
        <w:rPr>
          <w:rFonts w:ascii="Sylfaen" w:hAnsi="Sylfaen" w:cs="Sylfaen" w:eastAsia="Sylfaen"/>
          <w:b/>
          <w:color w:val="0B355A"/>
          <w:sz w:val="24"/>
        </w:rPr>
        <w:t>6. ხელმოწერები</w:t>
      </w:r>
    </w:p>
    <w:p>
      <w:pPr>
        <w:spacing w:after="120" w:before="0"/>
      </w:pPr>
      <w:r>
        <w:rPr>
          <w:rFonts w:ascii="Sylfaen" w:hAnsi="Sylfaen" w:cs="Sylfaen" w:eastAsia="Sylfaen"/>
          <w:b w:val="0"/>
          <w:sz w:val="22"/>
        </w:rPr>
        <w:t>[პირველი მხარე]: [თანამდებობა, სახელი, გვარი] ___________________ [თარიღი]</w:t>
      </w:r>
    </w:p>
    <w:p>
      <w:pPr>
        <w:spacing w:after="120" w:before="0"/>
      </w:pPr>
      <w:r>
        <w:rPr>
          <w:rFonts w:ascii="Sylfaen" w:hAnsi="Sylfaen" w:cs="Sylfaen" w:eastAsia="Sylfaen"/>
          <w:b w:val="0"/>
          <w:sz w:val="22"/>
        </w:rPr>
        <w:t>[მეორე მხარე]: [თანამდებობა, სახელი, გვარი] ___________________ [თარიღი]</w:t>
      </w:r>
    </w:p>
    <w:p>
      <w:r>
        <w:br w:type="page"/>
      </w:r>
    </w:p>
    <w:p>
      <w:pPr>
        <w:spacing w:after="200" w:before="0"/>
      </w:pPr>
      <w:r>
        <w:rPr>
          <w:rFonts w:ascii="Sylfaen" w:hAnsi="Sylfaen" w:cs="Sylfaen" w:eastAsia="Sylfaen"/>
          <w:b/>
          <w:color w:val="0B355A"/>
          <w:sz w:val="26"/>
        </w:rPr>
        <w:t>შევსებამდე გაითვალისწინეთ</w:t>
      </w:r>
    </w:p>
    <w:p>
      <w:pPr>
        <w:spacing w:after="160" w:before="0"/>
      </w:pPr>
      <w:r>
        <w:rPr>
          <w:rFonts w:ascii="Sylfaen" w:hAnsi="Sylfaen" w:cs="Sylfaen" w:eastAsia="Sylfaen"/>
          <w:b w:val="0"/>
          <w:sz w:val="22"/>
        </w:rPr>
        <w:t>1. კონფიდენციალური ინფორმაციის განსაზღვრება ზედმეტად ფართო არ უნდა იყოს. „ყველაფერი, რაც მხარეებს შორის გაიცვალა“ პრაქტიკაში სუსტი ფორმულირებაა — უკეთესია კატეგორიების ჩამოთვლა.</w:t>
      </w:r>
    </w:p>
    <w:p>
      <w:pPr>
        <w:spacing w:after="160" w:before="0"/>
      </w:pPr>
      <w:r>
        <w:rPr>
          <w:rFonts w:ascii="Sylfaen" w:hAnsi="Sylfaen" w:cs="Sylfaen" w:eastAsia="Sylfaen"/>
          <w:b w:val="0"/>
          <w:sz w:val="22"/>
        </w:rPr>
        <w:t>2. გამონაკლისების პუნქტი აუცილებელია. მის გარეშე მხარე ფორმალურად არღვევს შეთანხმებას მაშინაც კი, როცა ინფორმაცია უკვე საჯაროა.</w:t>
      </w:r>
    </w:p>
    <w:p>
      <w:pPr>
        <w:spacing w:after="160" w:before="0"/>
      </w:pPr>
      <w:r>
        <w:rPr>
          <w:rFonts w:ascii="Sylfaen" w:hAnsi="Sylfaen" w:cs="Sylfaen" w:eastAsia="Sylfaen"/>
          <w:b w:val="0"/>
          <w:sz w:val="22"/>
        </w:rPr>
        <w:t>3. ვადა ცალკე უნდა იყოს მითითებული ძირითადი თანამშრომლობის ვადისგან — NDA ჩვეულებრივ მას გადააჭარბებს.</w:t>
      </w:r>
    </w:p>
    <w:p>
      <w:pPr>
        <w:spacing w:after="160" w:before="0"/>
      </w:pPr>
      <w:r>
        <w:rPr>
          <w:rFonts w:ascii="Sylfaen" w:hAnsi="Sylfaen" w:cs="Sylfaen" w:eastAsia="Sylfaen"/>
          <w:b w:val="0"/>
          <w:sz w:val="22"/>
        </w:rPr>
        <w:t>4. პირგასამტეხლოს ფიქსირებული თანხა უფრო მუშაობს, ვიდრე „ზიანის ანაზღაურება“: ზიანის ოდენობის დამტკიცება ინფორმაციის გაჟონვისას თითქმის შეუძლებელია.</w:t>
      </w:r>
    </w:p>
    <w:p>
      <w:pPr>
        <w:spacing w:after="80" w:before="320"/>
      </w:pPr>
      <w:r>
        <w:rPr>
          <w:rFonts w:ascii="Sylfaen" w:hAnsi="Sylfaen" w:cs="Sylfaen" w:eastAsia="Sylfaen"/>
          <w:b w:val="0"/>
          <w:color w:val="64748B"/>
          <w:sz w:val="18"/>
        </w:rPr>
        <w:t>ეს არის ზოგადი ნიმუში და არ წარმოადგენს იურიდიულ კონსულტაციას. პირგასამტეხლოს ოდენობა და ვალდებულების ვადა კონკრეტულ შემთხვევაზე იურისტთან შეათანხმეთ.</w:t>
      </w:r>
    </w:p>
    <w:p>
      <w:pPr>
        <w:spacing w:after="160" w:before="0"/>
      </w:pPr>
      <w:r>
        <w:rPr>
          <w:rFonts w:ascii="Sylfaen" w:hAnsi="Sylfaen" w:cs="Sylfaen" w:eastAsia="Sylfaen"/>
          <w:b w:val="0"/>
          <w:color w:val="64748B"/>
          <w:sz w:val="18"/>
        </w:rPr>
        <w:t>წყარო: unidocs.ge/templates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Sylfaen" w:hAnsi="Sylfaen" w:cs="Sylfaen" w:eastAsia="Sylfae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